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BFBFB"/>
        <w:spacing w:lineRule="atLeast" w:line="240" w:beforeAutospacing="0" w:before="0" w:afterAutospacing="0" w:after="210"/>
        <w:jc w:val="both"/>
        <w:textAlignment w:val="baseline"/>
        <w:rPr>
          <w:color w:val="5F5E5E"/>
          <w:sz w:val="28"/>
          <w:szCs w:val="28"/>
        </w:rPr>
      </w:pPr>
      <w:bookmarkStart w:id="0" w:name="__DdeLink__4114_3184323956"/>
      <w:bookmarkEnd w:id="0"/>
      <w:r>
        <w:rPr>
          <w:color w:val="5F5E5E"/>
          <w:sz w:val="28"/>
          <w:szCs w:val="28"/>
        </w:rPr>
        <w:t>Бытовой конфликт…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ind w:firstLine="708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Бытовой конфликт - это столкновение интересов, острое противоречие между преступником и потерпевшим, связанными между собой либо личностно-бытовыми (супруги, родственники, соседи), либо общественно-бытовыми (пассажир - кондуктор, покупатель - продавец) отношениями, также один из основных признаков бытового преступления.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ind w:firstLine="708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Семейно-бытовые правонарушения относятся к числу сложных социальных проблем. Несмотря на соседские, родственные отношения между людьми в семье и быту, как показывает практика, именно эта сфера отношений наиболее подвержена конфликтам самого различного рода: от мелких правонарушений бытового плана до преступлений, направленных против жизни и здоровья.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ind w:firstLine="708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Как свидетельствуют материалы административных и уголовных дел, подавляющее большинство противоправных деяний в семье совершается в условиях очевидности, им предшествуют длительные конфликты, хорошо известные окружающим и проявляющиеся в действиях, которые создают правовую основу для вмешательства сотрудников органов внутренних дел.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ind w:firstLine="708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Конфликты, приводящие к правонарушениям в семейно-бытовой сфере, всегда связаны с самой личностью и ее поведением. Многое зависит от уровня зрелости, от того, готова личность или нет преодолевать противоречия законопослушным путем. Законопослушным путем разрешаются лишь 19% противоречий, а 81% их перерастают в конфликты, которые в пяти случаях из десяти приводят к правонарушениям, а затем и к преступлениям.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ind w:firstLine="708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Семейно-бытовые правонарушения имеют ряд характерных признаков: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- конкретное место совершения правонарушения (квартира, дом, подъезд, дачный участок, гараж, придомовая территория);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- особые взаимоотношения между лицом, совершившим правонарушение, и потерпевшим (супружеские, родственные, соседские, дружеские);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- наличие конфликта между лицом, совершившим правонарушение, и потерпевшим (длительный, краткосрочный, одноразовый);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- обусловленный конфликтом насильственный характер большинства семейно-бытовых правонарушений;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- совершение таких деяний в абсолютном большинстве случаев в состоянии алкогольного или наркотического опьянения;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- ситуационный (заранее не подготавливаемый) характер таких правонарушений.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ind w:firstLine="708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 xml:space="preserve">Лица, которые совершают правонарушения на семейно-бытовой почве, в основной своей массе старше 30 лет, не заняты никакой общественно полезной деятельностью, ранее судимые (прежде всего за насильственные преступления), злоупотребляющие спиртными напитками и наркотиками, допускающие насильственные правонарушения и конфликты на семейно-бытовой почве. 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ind w:firstLine="708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Одним из направлений деятельности сотрудников полиции по предупреждению правонарушений и преступлений, совершаемых в семейно-бытовой сфере, является проведение виктимологической профилактики с лицами, которые могут быть потерпевшими от таких преступлений.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ind w:firstLine="708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Потенциальными жертвами семейных дебоширов являются, прежде всего, супруги и сожительницы лиц, склонных к совершению насильственных преступлений, их соседи, гораздо реже коллеги или вообще незнакомые лица. Таким гражданам необходимо объяснять варианты их поведения в случае нового обострения конфликта, сообщать им прямые контактные телефоны участкового и дежурной части органа внутренних дел.</w:t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ind w:firstLine="708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Профилактика правонарушений в семейно-бытовой сфере основывается не только на методах убеждения, но и на методах принуждения административно-правового характера.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Статьей 6.1.1. КоАП РФ предусмотрена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 Данные противоправные действия гражданами тоже, как правило, совершаются на бытовой почве. Вместе с тем, потерпевшие не обращаются в медицинские организации, или же спустя непродолжительный период времени не желают привлекать виновное лицо к ответственности, тем самым потворствуют домашнему насилию. Стоит помнить, что повторное совершение побоев уже образует состав уголовного преступления, предусмотренного ст.116.1 УК РФ.</w:t>
      </w:r>
    </w:p>
    <w:p>
      <w:pPr>
        <w:pStyle w:val="Western"/>
        <w:spacing w:before="0" w:after="0"/>
        <w:ind w:right="0" w:firstLine="709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</w:r>
    </w:p>
    <w:p>
      <w:pPr>
        <w:pStyle w:val="NormalWeb"/>
        <w:shd w:val="clear" w:color="auto" w:fill="FBFBFB"/>
        <w:spacing w:lineRule="atLeast" w:line="240" w:beforeAutospacing="0" w:before="0" w:afterAutospacing="0" w:after="210"/>
        <w:jc w:val="both"/>
        <w:textAlignment w:val="baseline"/>
        <w:rPr>
          <w:color w:val="5F5E5E"/>
          <w:sz w:val="28"/>
          <w:szCs w:val="28"/>
        </w:rPr>
      </w:pPr>
      <w:r>
        <w:rPr>
          <w:color w:val="5F5E5E"/>
          <w:sz w:val="28"/>
          <w:szCs w:val="28"/>
        </w:rPr>
        <w:t>ОМВД России по Онежскому району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7a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402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uiPriority w:val="99"/>
    <w:qFormat/>
    <w:rsid w:val="00163755"/>
    <w:pPr>
      <w:spacing w:lineRule="auto" w:line="240" w:before="280" w:after="198"/>
      <w:ind w:right="5245" w:hanging="0"/>
      <w:jc w:val="both"/>
    </w:pPr>
    <w:rPr>
      <w:rFonts w:ascii="Times New Roman" w:hAnsi="Times New Roman" w:eastAsia="Times New Roman" w:cs="Times New Roman"/>
      <w:sz w:val="26"/>
      <w:szCs w:val="26"/>
      <w:lang w:eastAsia="ar-SA"/>
    </w:rPr>
  </w:style>
  <w:style w:type="paragraph" w:styleId="ConsPlusNormal" w:customStyle="1">
    <w:name w:val="ConsPlusNormal"/>
    <w:qFormat/>
    <w:rsid w:val="00960cc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Title" w:customStyle="1">
    <w:name w:val="ConsPlusTitle"/>
    <w:uiPriority w:val="99"/>
    <w:qFormat/>
    <w:rsid w:val="00960ccb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LibreOffice/5.4.6.2$Windows_x86 LibreOffice_project/4014ce260a04f1026ba855d3b8d91541c224eab8</Application>
  <Pages>2</Pages>
  <Words>480</Words>
  <Characters>3591</Characters>
  <CharactersWithSpaces>4055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2020-03-18T09:05:00Z</dcterms:created>
  <dc:creator>Windows User</dc:creator>
  <dc:description/>
  <dc:language>ru-RU</dc:language>
  <cp:lastModifiedBy>NACHOOP</cp:lastModifiedBy>
  <dcterms:modified xsi:type="dcterms:W3CDTF">2020-03-18T09:29:00Z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