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РАЗЪЯСНЕНИЯ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 xml:space="preserve">по отдельным ситуациям, возникающим при предоставлении справок </w:t>
      </w:r>
    </w:p>
    <w:p>
      <w:pPr>
        <w:pStyle w:val="Normal"/>
        <w:widowControl w:val="false"/>
        <w:jc w:val="center"/>
        <w:rPr>
          <w:szCs w:val="28"/>
        </w:rPr>
      </w:pPr>
      <w:r>
        <w:rPr>
          <w:szCs w:val="28"/>
        </w:rPr>
        <w:t>о доходах, расходах, об имуществе и обязательствах имущественного характера и заполнении соответствующей формы справки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Cs w:val="28"/>
        </w:rPr>
        <w:t xml:space="preserve">При заполнении справок о доходах, расходах, об имуществе и обязательствах имущественного характера необходимо руководствоваться обновленными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которые размещены на официальном сайте Министерства труда и социальной защиты Российской Федерации в разделе «Министерство», подразделе «Деятельность», строке «Представление сведений о доходах, расходах, об имуществе и обязательствах имущественного характер» </w:t>
      </w:r>
      <w:hyperlink r:id="rId2">
        <w:r>
          <w:rPr>
            <w:rStyle w:val="Style16"/>
            <w:color w:val="0000FF"/>
            <w:szCs w:val="28"/>
            <w:u w:val="single"/>
          </w:rPr>
          <w:t>https://rosmintrud.ru/ministry/programms/ anticorruption/9/5</w:t>
        </w:r>
      </w:hyperlink>
      <w:r>
        <w:rPr>
          <w:szCs w:val="28"/>
        </w:rPr>
        <w:t xml:space="preserve"> (далее – Методические рекомендации).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Ситуация: методические рекомендации дополнены новым пунктом 32, которым предусмотрено, что для отдельных категорий служащих (работников) и должностных лиц подпунктами «в» и «г» пункта 26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программного обеспечения «Справки БК» (далее - СПО «Справки БК»).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значит ли это, что муниципальным служащим, представляющим сведения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органов местного самоуправления не обязательно предоставлять сведения с использованием СПО «Справки БК»?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справки о доходах должны предоставляться только с использованием СПО «Справки БК».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Губернатором Архангельской области 16 июня 2017 года подписан указ № 62-у «О внесении изменений в указы Губернатора Архангельской области от 14 декабря 2009 года № 51-у и от 14 декабря 2009 года № 52-у», которым установлено, что граждане, претендующие на замещение должностей государственной гражданской службы Архангельской области, с 01 июля 2017 года и государственные гражданские служащие Архангельской области при предоставлении сведений о доходах за 2017 год обязаны заполнять форму справки с использованием СПО «Справки БК».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Согласно части l статьи 15 Федерального закона от 02 марта 2007 года № 25-ФЗ «О муниципальной службе в Российской Федерации»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</w:t>
      </w:r>
      <w:r>
        <w:rPr>
          <w:szCs w:val="28"/>
          <w:u w:val="single"/>
        </w:rPr>
        <w:t xml:space="preserve">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Таким образом, граждане, претендующие на замещение должностей муниципальной службы, включенных в соответствующий перечень, с 01 июля 2017 года, а также муниципальные служащие, замещающие указанные должности (до 30 апреля 2018 года и далее ежегодно), также должны заполнять форму справки с использованием СПО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Аналогичное требование установлено в отношении лиц, замещающих муниципальные должности (Приложение № 1 к областному закону от 26 ноября 2008 года № 626-31-ОЗ «О противодействии коррупции в Архангельской области»). 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Обращаем внимание, что соответствующие разъяснения направлялись главам муниципальных образований Архангельской области и председателям представительных органов муниципальных образований Архангельской области письмом правового департамента администрации Губернатора Архангельской области и Правительства Архангельской области от 03 июля 2017 года № 09-03/823.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в ноябре 2017 года получил свидетельство о праве на наследство на квартиру и земельный участок, но право собственности оформил в январе 2018 года (регистрация в Росреестр).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нужно ли указывать данную собственность в справке о доходах за 2017 год?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да, необходимо указать в подразделе 3.1 «Недвижимое имущество».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74 Методических рекомендаций указанию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квартира находилась в собственности супруга, была продана 27 декабря 2017 года по договору купли-продажи. Денежные средства от продажи были получены супругом наличными в день подписания договора. Переход права собственности зарегистрирован в Росреестре в 2018 году. Другое жилье в 2017 году не приобреталось.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В разделе 1 справки супруга – учитывать ли денежные средства от продажи квартиры в доход?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Ответ: да, поскольку денежные средства получены 27 декабря 2017 года, то есть в отчетный период.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8 пункта 55 Методических рекомендациям к иным доходам относятся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родственникам.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>Вопрос: в разделе 3.1 справки о доходах супруга – заполнять сведения по проданной квартире?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>Ответ: да, поскольку согласно пункту 72 Методических рекомендаций при заполнении данного подраздела указываются все объекты недвижимости, принадлежащие служащему (работнику), члену семьи на праве собственности.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>При этом до осуществления регистрации перехода права собственности в Росреестре необходимо заполнить подраздел 6.2. «Срочные обязательства финансового характера», в котором следует отразить сумму денежных средств, полученных от продажи квартиры. Кредитором будет покупатель квартиры, передавший деньги, а квартира имуществом, заложенным в обеспечение обязательства, которую необходимо указать в графе «Условия обязательства».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 xml:space="preserve">Вопрос: в разделе 6.1 справки служащего – заполнять сведения по проданной квартире, если она находилась в пользовании служащего?  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szCs w:val="28"/>
        </w:rPr>
        <w:t>Ответ: нет, так как согласно обновленным Методическим рекомендациям, при заполнении подраздела 6.1 «Объекты недвижимого имущества, находящиеся в пользовании» не требуется 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 (пункт 136 Методических рекомендаций).</w:t>
      </w:r>
    </w:p>
    <w:p>
      <w:pPr>
        <w:pStyle w:val="ListParagraph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депозитный счет был открыт в кредитной организации 12.12.2016 года. Информация по данному счету была отражена в справке о доходах за 2016 год. Дохода от вклада по данному счету в 2016 году не было. В 2017 году был получен доход по вкладу, счет закрыт в июне 2017 года.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следует указывать сведения по данному счету в разделе 4 справки о доходах?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нет.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103 Методических рекомендаций в разделе 4 сведения о счетах в банках и иных кредитных организациях, которые по состоянию на отчетную дату закрыты, не указываются.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При этом необходимо не забыть указать доход, полученный от вкладов в банках и иных кредитных организациях в 2017 году в разделе 1 «Сведения о доходах».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номинальные счета открыты на родителей, а бенефициаром (т.е. владельцем счета) является ребенок.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в справку ребенка или родителя записывать номинальный счет?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в справку ребенка.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Согласно подпункту 5 пункта 55 Методических рекомендаций суммы, причитающиеся ребенку в качестве алиментов, пенсий, пособий (данные средства указываются в справке одного из родителей).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Обращаем внимание, что виды банковских счетов определены Инструкцией Банка России от 30 мая 2014 г. № 153-И «Об открытии и закрытии банковских счетов, счетов по вкладам (депозитам), депозитных счетов» (пункт 114 Методических рекомендаций).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ней у служащих могут быть либо текущие (для совершения операций, не связанных с предпринимательской деятельностью), либо депозитные счета (с целью получения доходов в виде процентов, начисляемых на сумму размещенных денежных средств), либо специальные банковские счета (номинальный счет, залоговый счет, специальный банковский счет должника и т.д.). У депутатов, являющихся индивидуальными предпринимателями, также могут быть расчетные счета.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Номинальный счет - это специальный счет в банке, открытый на опекуна (законного представителя несовершеннолетнего) для полноценного использования поступивших денежных средств без разрешения органов опеки.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Кроме этого, следует учитывать, что словосочетания «Карточный», «</w:t>
      </w:r>
      <w:r>
        <w:rPr>
          <w:szCs w:val="28"/>
          <w:lang w:val="en-US"/>
        </w:rPr>
        <w:t>Visa</w:t>
      </w:r>
      <w:r>
        <w:rPr>
          <w:szCs w:val="28"/>
        </w:rPr>
        <w:t>», «</w:t>
      </w:r>
      <w:r>
        <w:rPr>
          <w:szCs w:val="28"/>
          <w:lang w:val="en-US"/>
        </w:rPr>
        <w:t>Mastercard</w:t>
      </w:r>
      <w:r>
        <w:rPr>
          <w:szCs w:val="28"/>
        </w:rPr>
        <w:t>», «Классический», «Выгодный», «Комфортный» и т.п. являются наименованием вкладов, а не видами счетов.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приемному ребенку произведена компенсация проезда к месту отдыха и обратно за счет средств городского бюджета в рамках организации летней компании.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Ребенку предоставлен сертификат на путевку в летний оздоровительный лагерь, на сопровождение, на оплату проезда за счет средств городского и областного бюджетов в рамках организации летней компании.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нужно ли указывать данные сведения в доходы ребенка?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нужно указывать при наступлении определенных условий (в справке одного из родителей, с которым был заключен договор на предоставление путевки в детский лагерь).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21 пункта 55 Методических рекомендаций в сведениях о доходах указываются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Данное положение согласуется с пунктом 56 Методических рекомендаций, согласно которому формой справки не предусмотрено указание товаров, услуг, полученных в натуральной форме, а также виртуальных валют.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Таким образом, указание стоимости путевки, которая была получена в натуральной форме (бесплатно) в строке «Иные доходы» не требуется.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Ситуация: выписки по счетам, выдаваемые ПАО «Сбербанк», не содержат информации об юридическом адресе банка. Работник банка собственноручно проставляет дату открытия счета и адрес банка «ДО 8637/0266 Ленина 33». При получении выписки в Сбербанк онлайн, адрес: 163000, г. Архангельск, просп. Ломоносова, д. 137, значится как почтовый адрес отделения Сбербанка России по Архангельской области. Юридически адрес Сбербанка значится: 117997, Россия, Москва, ул. Вавилова, д. 19.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какой адрес банка указывать в данной ситуации?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адрес отделения банка с одновременным указанием юридического адреса банка.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Согласно пункту 102 Методических рекомендаций в графе «Наименование и адрес банка или иной кредитной организации» рекомендуется указывать юридический адрес </w:t>
      </w:r>
      <w:r>
        <w:rPr>
          <w:szCs w:val="28"/>
          <w:u w:val="single"/>
        </w:rPr>
        <w:t>отделения банка</w:t>
      </w:r>
      <w:r>
        <w:rPr>
          <w:szCs w:val="28"/>
        </w:rPr>
        <w:t xml:space="preserve"> или иной кредитной организации, в котором был открыт соответствующий счет.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По мнению управления ключевое значение в данном пункте имеет словосочетание «отделение банка».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Отделением (филиалом) банка является его обособленное подразделение, расположенное вне места нахождения банка и осуществляющее от его имени все или часть банковских операций, предусмотренных лицензией на осуществление банковских операций.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Отделение (филиал) банка может обладать, а может и не обладать правами юридического лица и осуществляет свою деятельность на основании положения, утверждаемого создавшим его банком. Положение об отделении (филиале) банка должно соответствовать требованиям законодательства и уставу банка. Перечень отделений (филиалов) банка прилагается к уставу банка.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Например, согласно уставу ПАО «Сбербанк России» размещенному на официальном сайте банка, у него есть филиал «Архангельское отделение № 8637 ПАО Сбербанк», расположенное по адресу: 163000, г. Архангельск, просп. Ломоносова, д. 137.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 заполнении графы «Наименование и адрес банка или иной кредитной организации» необходимо указывать адрес отделения банка, при этом юридический адрес указывается в случае наделения отделения правами юридического лица, а почтовый при отсутствии у отделения прав юридического лица.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Одновременно с этим рекомендуется также указать юридический адрес банка (головного офиса), предлагаемого СПО «Справки БК» (например:</w:t>
      </w:r>
      <w:r>
        <w:rPr/>
        <w:t xml:space="preserve"> </w:t>
      </w:r>
      <w:bookmarkStart w:id="1" w:name="_Hlk506217937"/>
      <w:bookmarkStart w:id="2" w:name="_Hlk506191653"/>
      <w:bookmarkEnd w:id="1"/>
      <w:bookmarkEnd w:id="2"/>
      <w:r>
        <w:rPr>
          <w:szCs w:val="28"/>
        </w:rPr>
        <w:t xml:space="preserve">ПАО «Сбербанк России», 117997, г. Москва, ул. Вавилова, д. 19). 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каким документом руководствоваться при заполнении раздела 4 «Сведения о счетах в банках и иных кредитных организациях» графы «Наименование и адрес банка или иной кредитной организации», возможно ли использование данных, полученных в личном кабинете банка (онлайн банка)?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Ответ: рекомендуется руководствоваться выпиской из банка.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117 Методических рекомендаций для получения достоверных сведений о дате открытия счета в банке (иной кредитной организации), виде такого счета, остатке на счете на отчетную дату следует обратиться в банк или соответствующую кредитную организацию.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Согласно абзацу двадцать четвертому пункта 2.1 части III приложения к Положению Центрального банка Российской Федерации от 27 февраля 2017 года № 579-П «О плане счетов бухгалтерского учета для кредитных организаций и порядке его применения»: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выписки из лицевых счетов, распечатанные с использованием средств вычислительной техники, выдаются клиентам без штампов и подписей работников кредитной организации;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случае если выписки из лицевых счетов и приложения к ним передаются клиенту в электронном виде, то указанные документы подписываются электронной подписью уполномоченного лица кредитной организации.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Рекомендуется сохранять полученные из банков выписки, так как они могут послужить доказательством отсутствия вины служащего в случае выявления каких-либо несоответствий.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необходимо ли указывать в справке счета, открытые в банках онлайн, и какой адрес банка указывать в данной ситуации?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да необходимо, если соответствующие сведения о счетах содержатся в налоговых органах.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101 Методических рекомендаций в разделе 4 справки отражается информация обо всех счетах, открытых в банках и иных кредитных организациях по состоянию на отчетную дату, вне зависимости от цели их открытия и использования.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 1 июля 2014 года банки обязаны сообщать в налоговую инспекцию по месту своего нахождения информацию об открытии или закрытии счета, изменении его реквизитов не только организациями и предпринимателями, но и физическими лицами, которые не являются предпринимателями. Это же касается и открытия или закрытия вкладов (депозитов). Соответствующие изменения внесены в пункт 1 статьи 86 Налогового кодекса РФ.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Заявителю - гражданину (физическому лицу) сведения о его (ее) банковских счетах могут быть предоставлены налоговыми органами на основании положений Федерального закона от 27 июля 2006 года № 149-ФЗ «Об информатизации, информационных технологиях и о защите информации».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Гражданин для получения сведений о своих банковских  счетах  вправе  лично обратиться с запросом, составленным в произвольной форме, предъявив документ, удостоверяющий личность; подать заявление, через сервис «Личный  кабинет налогоплательщика для физических лиц» (раздел: «обращение в свободной форме») или направить запрос по телекоммуникационным каналам связи, подписанный своей усиленной квалифицированной электронной подписью, отвечающей требованиям Федерального закона от 06 апреля 2011 года № 63-ФЗ «Об электронной подписи».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Обратиться за получением сведений о своих банковских счетах заявитель может в любой территориальный налоговый орган, в том числе по месту своего нахождения (жительства (пребывания)).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При обращении с запросом заявителю необходимо принять во внимание тот факт, что сведения о счетах (вкладах) физических лиц представляются банками в налоговые органы в соответствии с пунктом 1 статьи 86 Налогового кодекса Российской Федерации с 1 июля 2014 года.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 Также налоговые органы не располагают информацией о движении денежных средств по счетам. Такую информацию заявитель может запросить у банка, в котором открыт счет.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Ситуация: при заполнении подраздела 3.1 раздела 3 справки в графе «Площадь», согласно правоустанавливающим документам, указана площадь 26,39 кв.м., программа автоматически округляет цифру до 26,4 кв.м.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необходимо ли прилагать пояснение к справке?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нет, так как округление площади объектов недвижимости происходит автоматически и не зависит от воли лица, заполняющего справку о доходах.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Ситуация: при заполнении подраздела 5.2 «Иные ценные бумаги» раздела 5 «Сведения о ценных бумагах» необходимо разъяснение по заполнению граф «Номинальная величина обязательства» и «Общая стоимость» (конкретно при указании сберегательного сертификата на предъявителя).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согласно статье 844 Гражданского кодекса Российской Федерации сберегательный (депозитный) сертификат является ценной бумагой, удостоверяющей сумму вклада, внесенного в банк, и права вкладчика (держателя сертификата) на получение по истечении установленного срока суммы вклада и обусловленных в сертификате процентов в банке, выдавшем сертификат, или в любом филиале этого банка.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132 Методических рекомендаций</w:t>
      </w:r>
      <w:r>
        <w:rPr/>
        <w:t xml:space="preserve"> к</w:t>
      </w:r>
      <w:r>
        <w:rPr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 учетом изложенного в справке о доходах в подразделе 5.2 «Иные ценные бумаги» указываются сведения об имеющемся сберегательном сертификате.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Номинальная стоимость сберегательных сертификатов, удостоверяющих денежные обязательства, равна сумме, которая должна быть выплачена держателю сертификата в момент погашения без учета процентных выплат.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Согласно пункту 134 Методических рекомендаций в графе «Общая стоимость»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Таким образом, при заполнении сведений об имеющемся сберегательном сертификате в графах «Номинальная величина обязательства» и «Общая стоимость» нужно указывать размер вклада, оформленного сертификатом.</w:t>
      </w:r>
    </w:p>
    <w:p>
      <w:pPr>
        <w:pStyle w:val="Normal"/>
        <w:widowControl w:val="false"/>
        <w:jc w:val="both"/>
        <w:rPr>
          <w:szCs w:val="28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2" wp14:anchorId="04806C73">
                <wp:simplePos x="0" y="0"/>
                <wp:positionH relativeFrom="column">
                  <wp:posOffset>395605</wp:posOffset>
                </wp:positionH>
                <wp:positionV relativeFrom="paragraph">
                  <wp:posOffset>2145030</wp:posOffset>
                </wp:positionV>
                <wp:extent cx="4544060" cy="10160"/>
                <wp:effectExtent l="9525" t="6985" r="9525" b="12065"/>
                <wp:wrapNone/>
                <wp:docPr id="1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435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31.15pt;margin-top:168.9pt;width:357.7pt;height:0.7pt;flip:y" wp14:anchorId="04806C73" type="shapetype_32">
                <w10:wrap type="none"/>
                <v:fill o:detectmouseclick="t" on="false"/>
                <v:stroke color="red" weight="9360" joinstyle="round" endcap="flat"/>
              </v:shape>
            </w:pict>
          </mc:Fallback>
        </mc:AlternateContent>
      </w:r>
      <w:r>
        <w:rPr/>
        <w:drawing>
          <wp:inline distT="0" distB="9525" distL="0" distR="9525">
            <wp:extent cx="5934075" cy="4238625"/>
            <wp:effectExtent l="0" t="0" r="0" b="0"/>
            <wp:docPr id="2" name="Рисунок 1" descr="&amp;Scy;&amp;bcy;&amp;iecy;&amp;rcy;&amp;iecy;&amp;gcy;&amp;acy;&amp;tcy;&amp;iecy;&amp;lcy;&amp;softcy;&amp;ncy;&amp;ycy;&amp;jcy; &amp;scy;&amp;iecy;&amp;rcy;&amp;tcy;&amp;icy;&amp;fcy;&amp;icy;&amp;kcy;&amp;acy;&amp;tcy; &amp;Scy;&amp;bcy;&amp;iecy;&amp;rcy;&amp;bcy;&amp;a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Scy;&amp;bcy;&amp;iecy;&amp;rcy;&amp;iecy;&amp;gcy;&amp;acy;&amp;tcy;&amp;iecy;&amp;lcy;&amp;softcy;&amp;ncy;&amp;ycy;&amp;jcy; &amp;scy;&amp;iecy;&amp;rcy;&amp;tcy;&amp;icy;&amp;fcy;&amp;icy;&amp;kcy;&amp;acy;&amp;tcy; &amp;Scy;&amp;bcy;&amp;iecy;&amp;rcy;&amp;bcy;&amp;a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>
      <w:pPr>
        <w:pStyle w:val="Normal"/>
        <w:widowControl w:val="false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Обращаем внимание, что при погашении сберегательного сертификата нужно отразить соответствующий доход либо в строке «Доход от ценных бумаг и долей участия в коммерческих организациях», либо в строке «Иные доходы» раздела 1, который выражается в величине суммы финансового результата в виде процентов при погашении сберегательных сертификатов (подпункт 2 пункта 54 и подпункт 11 пункта 55 Методических рекомендаций). </w:t>
      </w:r>
    </w:p>
    <w:p>
      <w:pPr>
        <w:pStyle w:val="Normal"/>
        <w:widowControl w:val="false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Методические рекомендации допускают оба варианта заполнения.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Ситуация: в январе 2017 года пенсионеры получили единовременную выплату в размере 5000 рублей в рамках индексации Президентом РФ.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необходимо ли отражать данную выплату в справке о доходах в разделе 1 «Сведения о доходах» (иные доходы)?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Ответ: да, данную выплату рекомендуется указывать в строке «Иные доходы», при этом при получении справки о размере пенсии в отделении Пенсионного фонда России необходимо уточнить, не включена ли данная выплата в общий размер пенсии. Если включена, то указывается в составе пенсии.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Единовременная компенсационная выплата выплачивалась Пенсионным фондом РФ всем пенсионерам в размере 5000 рублей в качестве компенсации части индексации пенсии. </w:t>
      </w:r>
    </w:p>
    <w:p>
      <w:pPr>
        <w:pStyle w:val="Normal"/>
        <w:widowControl w:val="false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Ситуация: в разделе 6.2. «Срочные обязательства финансового характера», в графе 6 «Условия обязательства» необходимо указать годовую процентную ставку обязательства. В случае, если в течение 2017 года несколько раз менялась ключевая ставка, устанавливаемая Банком России, кредитные организации по заявлению заемщиков снижали процентную ставку по кредитам.  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Вопрос: какой размер годовой процентной ставки требуется отразить в разделе 6.2. Справки?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Ответ: указывается размер годовой процентной ставки, установленный по состоянию на 31 декабря 2017 года.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146 Методических рекомендаций в разделе 6.2. «Срочные обязательства финансового характера» указывается каждое </w:t>
      </w:r>
      <w:r>
        <w:rPr>
          <w:szCs w:val="28"/>
          <w:u w:val="single"/>
        </w:rPr>
        <w:t>имеющееся на отчетную дату</w:t>
      </w:r>
      <w:r>
        <w:rPr>
          <w:szCs w:val="28"/>
        </w:rPr>
        <w:t xml:space="preserve"> срочное обязательство финансового характера на сумму, равную или превышающую 500 000 рублей, кредитором или должником, по которым является служащий (работник), его супруга (супруг), несовершеннолетний ребенок.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  <w:t>Для служащих и лиц, замещающих муниципальные должности, отчетной датой является 31 декабря года, предшествующего году представления сведений.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ind w:firstLine="709"/>
        <w:jc w:val="center"/>
        <w:rPr>
          <w:szCs w:val="28"/>
        </w:rPr>
      </w:pPr>
      <w:r>
        <w:rPr>
          <w:szCs w:val="28"/>
        </w:rPr>
        <w:t>____________________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9346606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d79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a6da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a6da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7980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2a6da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2a6da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ministry/programms/ anticorruption/9/5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4</Pages>
  <Words>2799</Words>
  <Characters>18841</Characters>
  <CharactersWithSpaces>21570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2018-02-12T14:19:00Z</dcterms:created>
  <dc:creator>Панов Андрей Николаевич</dc:creator>
  <dc:description/>
  <dc:language>ru-RU</dc:language>
  <cp:lastModifiedBy>Башурова Елена Алекасандровна</cp:lastModifiedBy>
  <dcterms:modified xsi:type="dcterms:W3CDTF">2018-02-12T14:19:00Z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