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2022 году (за отчетный 2021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br/>
              <w:t>(за отчетный 2021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highlight w:val="yellow"/>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s>
        <w:spacing w:lineRule="auto" w:line="240" w:before="0" w:after="0"/>
        <w:ind w:left="142" w:firstLine="425"/>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highlight w:val="yellow"/>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6"/>
          <w:rFonts w:cs="Times New Roman" w:ascii="Times New Roman" w:hAnsi="Times New Roman"/>
          <w:color w:val="000000"/>
          <w:sz w:val="28"/>
          <w:szCs w:val="28"/>
          <w:highlight w:val="yellow"/>
        </w:rPr>
        <w:t>Доход от реализации имущества указывается в полном объеме без вычета "комиссионных" и иных подобных выплат.</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710" w:leader="none"/>
        </w:tabs>
        <w:spacing w:lineRule="auto" w:line="240" w:before="0" w:after="0"/>
        <w:ind w:left="0" w:firstLine="567"/>
        <w:rPr>
          <w:rStyle w:val="Style16"/>
          <w:rFonts w:ascii="Times New Roman" w:hAnsi="Times New Roman" w:cs="Times New Roman"/>
          <w:sz w:val="28"/>
          <w:szCs w:val="28"/>
          <w:highlight w:val="yellow"/>
        </w:rPr>
      </w:pPr>
      <w:r>
        <w:rPr>
          <w:rStyle w:val="Style16"/>
          <w:rFonts w:cs="Times New Roman" w:ascii="Times New Roman" w:hAnsi="Times New Roman"/>
          <w:sz w:val="28"/>
          <w:szCs w:val="28"/>
          <w:highlight w:val="yellow"/>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2"/>
        </w:numPr>
        <w:tabs>
          <w:tab w:val="clear" w:pos="709"/>
          <w:tab w:val="left" w:pos="142" w:leader="none"/>
          <w:tab w:val="left" w:pos="1134" w:leader="none"/>
        </w:tabs>
        <w:ind w:left="0" w:firstLine="567"/>
        <w:rPr>
          <w:sz w:val="28"/>
          <w:szCs w:val="28"/>
          <w:highlight w:val="yellow"/>
        </w:rPr>
      </w:pPr>
      <w:r>
        <w:rPr>
          <w:sz w:val="28"/>
          <w:szCs w:val="28"/>
          <w:highlight w:val="yellow"/>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2"/>
        </w:numPr>
        <w:ind w:left="0" w:firstLine="567"/>
        <w:rPr>
          <w:rFonts w:ascii="Times New Roman" w:hAnsi="Times New Roman"/>
          <w:sz w:val="28"/>
          <w:szCs w:val="28"/>
          <w:highlight w:val="yellow"/>
          <w:lang w:eastAsia="ru-RU"/>
        </w:rPr>
      </w:pPr>
      <w:r>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2"/>
        </w:numPr>
        <w:tabs>
          <w:tab w:val="clear" w:pos="709"/>
          <w:tab w:val="left" w:pos="1276" w:leader="none"/>
        </w:tabs>
        <w:ind w:left="0" w:firstLine="567"/>
        <w:rPr>
          <w:sz w:val="28"/>
          <w:szCs w:val="28"/>
          <w:highlight w:val="yellow"/>
        </w:rPr>
      </w:pPr>
      <w:r>
        <w:rPr>
          <w:rFonts w:ascii="Times New Roman" w:hAnsi="Times New Roman"/>
          <w:sz w:val="28"/>
          <w:szCs w:val="28"/>
          <w:highlight w:val="yellow"/>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единовременная выплата семьям, имеющим детей, в соответствии с Указом Президента Российской Федерации от 2 июля 2021 г. № 396;</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pPr>
        <w:pStyle w:val="ListParagraph"/>
        <w:numPr>
          <w:ilvl w:val="1"/>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pPr>
        <w:pStyle w:val="ListParagraph"/>
        <w:numPr>
          <w:ilvl w:val="1"/>
          <w:numId w:val="1"/>
        </w:numPr>
        <w:ind w:left="0" w:firstLine="709"/>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pPr>
        <w:pStyle w:val="Normal"/>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highlight w:val="yellow"/>
          <w:lang w:eastAsia="ru-RU"/>
        </w:rPr>
      </w:pPr>
      <w:r>
        <w:rPr>
          <w:rFonts w:eastAsia="Times New Roman" w:ascii="Times New Roman" w:hAnsi="Times New Roman"/>
          <w:sz w:val="28"/>
          <w:szCs w:val="28"/>
          <w:highlight w:val="yellow"/>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highlight w:val="yellow"/>
        </w:rPr>
      </w:pPr>
      <w:r>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highlight w:val="yellow"/>
          <w:lang w:eastAsia="ru-RU"/>
        </w:rPr>
        <w:t>не подлежит отражению в разделе 1 справки. Счет в банке, открытый для соответствующих целей, отражается в разделе 4 справки.</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highlight w:val="yellow"/>
        </w:rPr>
      </w:pPr>
      <w:r>
        <w:rPr>
          <w:rFonts w:ascii="Times New Roman" w:hAnsi="Times New Roman"/>
          <w:sz w:val="28"/>
          <w:szCs w:val="28"/>
          <w:highlight w:val="yellow"/>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highlight w:val="yellow"/>
        </w:rPr>
      </w:pPr>
      <w:r>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highlight w:val="yellow"/>
        </w:rPr>
      </w:pPr>
      <w:r>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highlight w:val="yellow"/>
        </w:rPr>
        <w:t>4) приобретение цифровых финансовых активов и цифровых валют.</w:t>
      </w:r>
      <w:r>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цифрового финансового актива или цифрового права</w:t>
      </w:r>
      <w:r>
        <w:rPr>
          <w:rStyle w:val="Style16"/>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709"/>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цифрового финансового актива или цифрового права.</w:t>
      </w:r>
    </w:p>
    <w:p>
      <w:pPr>
        <w:pStyle w:val="ListParagraph"/>
        <w:widowControl w:val="false"/>
        <w:numPr>
          <w:ilvl w:val="0"/>
          <w:numId w:val="1"/>
        </w:numPr>
        <w:ind w:left="0" w:firstLine="709"/>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указывается общее количество приобретенных цифровых финансовых активов или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6"/>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Уникальное условное обозначение</w:t>
      </w:r>
      <w:r>
        <w:rPr>
          <w:rStyle w:val="Style16"/>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Объем инвестиций (руб.)</w:t>
      </w:r>
      <w:r>
        <w:rPr>
          <w:rStyle w:val="Style16"/>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Инвестиции, выраженные в иностранной валюте, указываются в рублях по курсу Банка России на дату их осуществления.</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инвестиционной платформы</w:t>
      </w:r>
      <w:r>
        <w:rPr>
          <w:rStyle w:val="Style16"/>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5">
        <w:r>
          <w:rPr>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ind w:left="0" w:firstLine="567"/>
        <w:rPr>
          <w:rStyle w:val="Style16"/>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цифровой валюты</w:t>
      </w:r>
      <w:r>
        <w:rPr>
          <w:rStyle w:val="Style16"/>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yellow"/>
          <w:shd w:fill="FFFFFF" w:val="clear"/>
        </w:rPr>
      </w:pPr>
      <w:r>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6"/>
          <w:rFonts w:ascii="Times New Roman" w:hAnsi="Times New Roman" w:cs="Times New Roman"/>
          <w:sz w:val="28"/>
          <w:szCs w:val="28"/>
          <w:highlight w:val="yellow"/>
        </w:rPr>
      </w:pPr>
      <w:r>
        <w:rPr>
          <w:rStyle w:val="Style16"/>
          <w:rFonts w:cs="Times New Roman" w:ascii="Times New Roman" w:hAnsi="Times New Roman"/>
          <w:sz w:val="28"/>
          <w:szCs w:val="28"/>
          <w:highlight w:val="yellow"/>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6"/>
          <w:rFonts w:cs="Times New Roman" w:ascii="Times New Roman" w:hAnsi="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highlight w:val="yellow"/>
        </w:rPr>
      </w:pPr>
      <w:r>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highlight w:val="yellow"/>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Fonts w:ascii="Times New Roman" w:hAnsi="Times New Roman"/>
            <w:sz w:val="28"/>
            <w:szCs w:val="28"/>
          </w:rPr>
          <w:t>https://www.cbr.ru/currency_base/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8">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highlight w:val="yellow"/>
        </w:rPr>
      </w:pPr>
      <w:r>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highlight w:val="yellow"/>
        </w:rPr>
      </w:pPr>
      <w:r>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highlight w:val="yellow"/>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Pr>
          <w:rFonts w:ascii="Times New Roman" w:hAnsi="Times New Roman"/>
          <w:sz w:val="28"/>
          <w:szCs w:val="28"/>
        </w:rPr>
        <w:t xml:space="preserve">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Pr>
          <w:rFonts w:ascii="Times New Roman" w:hAnsi="Times New Roman"/>
          <w:sz w:val="28"/>
          <w:szCs w:val="28"/>
        </w:rPr>
        <w:t xml:space="preserve"> </w:t>
      </w:r>
      <w:r>
        <w:rPr>
          <w:rFonts w:ascii="Times New Roman" w:hAnsi="Times New Roman"/>
          <w:sz w:val="28"/>
          <w:szCs w:val="28"/>
          <w:highlight w:val="yellow"/>
        </w:rPr>
        <w:t>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highlight w:val="yellow"/>
        </w:rPr>
      </w:pPr>
      <w:r>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ListParagraph"/>
        <w:ind w:left="0" w:firstLine="567"/>
        <w:rPr>
          <w:rFonts w:ascii="Times New Roman" w:hAnsi="Times New Roman"/>
          <w:sz w:val="28"/>
          <w:szCs w:val="28"/>
        </w:rPr>
      </w:pPr>
      <w:r>
        <w:rPr>
          <w:rFonts w:ascii="Times New Roman" w:hAnsi="Times New Roman"/>
          <w:sz w:val="28"/>
          <w:szCs w:val="28"/>
          <w:highlight w:val="yellow"/>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highlight w:val="yellow"/>
        </w:rPr>
      </w:pPr>
      <w:r>
        <w:rPr>
          <w:rFonts w:ascii="Times New Roman" w:hAnsi="Times New Roman"/>
          <w:sz w:val="28"/>
          <w:szCs w:val="28"/>
          <w:highlight w:val="yellow"/>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highlight w:val="yellow"/>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w:t>
      </w:r>
      <w:r>
        <w:rPr>
          <w:rFonts w:ascii="Times New Roman" w:hAnsi="Times New Roman"/>
          <w:sz w:val="28"/>
          <w:szCs w:val="28"/>
          <w:highlight w:val="yellow"/>
        </w:rPr>
        <w:t>фьючерсный договор</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highlight w:val="yellow"/>
        </w:rPr>
        <w:t>Данный порядок применяется также в случае использования счетов эскроу</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highlight w:val="yellow"/>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highlight w:val="yellow"/>
        </w:rPr>
      </w:pPr>
      <w:r>
        <w:rPr>
          <w:rFonts w:ascii="Times New Roman" w:hAnsi="Times New Roman"/>
          <w:sz w:val="28"/>
          <w:szCs w:val="28"/>
          <w:highlight w:val="yellow"/>
        </w:rPr>
        <w:t>В графе "Содержание обязательства" указывается вид страхования, в графе "</w:t>
      </w:r>
      <w:r>
        <w:rPr>
          <w:highlight w:val="yellow"/>
        </w:rPr>
        <w:t xml:space="preserve"> </w:t>
      </w:r>
      <w:r>
        <w:rPr>
          <w:rFonts w:ascii="Times New Roman" w:hAnsi="Times New Roman"/>
          <w:sz w:val="28"/>
          <w:szCs w:val="28"/>
          <w:highlight w:val="yellow"/>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highlight w:val="yellow"/>
        </w:rPr>
      </w:pPr>
      <w:r>
        <w:rPr>
          <w:rFonts w:ascii="Times New Roman" w:hAnsi="Times New Roman"/>
          <w:sz w:val="28"/>
          <w:szCs w:val="28"/>
          <w:highlight w:val="yellow"/>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highlight w:val="yellow"/>
        </w:rPr>
      </w:pPr>
      <w:r>
        <w:rPr>
          <w:rFonts w:ascii="Times New Roman" w:hAnsi="Times New Roman"/>
          <w:sz w:val="28"/>
          <w:szCs w:val="28"/>
          <w:highlight w:val="yellow"/>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highlight w:val="yellow"/>
        </w:rPr>
        <w:t>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w:t>
      </w:r>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hanging="0"/>
        <w:jc w:val="left"/>
        <w:rPr>
          <w:rFonts w:ascii="Times New Roman" w:hAnsi="Times New Roman"/>
          <w:sz w:val="24"/>
          <w:szCs w:val="28"/>
        </w:rPr>
      </w:pPr>
      <w:r>
        <w:rPr>
          <w:rFonts w:ascii="Times New Roman" w:hAnsi="Times New Roman"/>
          <w:sz w:val="24"/>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highlight w:val="yellow"/>
        </w:rPr>
      </w:pPr>
      <w:r>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highlight w:val="yellow"/>
        </w:rPr>
      </w:pPr>
      <w:r>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highlight w:val="yellow"/>
        </w:rPr>
      </w:pPr>
      <w:r>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highlight w:val="yellow"/>
        </w:rPr>
      </w:pPr>
      <w:r>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highlight w:val="yellow"/>
          <w:shd w:fill="auto" w:val="clear"/>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t xml:space="preserve"> </w:t>
      </w:r>
      <w:bookmarkStart w:id="9" w:name="_GoBack"/>
      <w:bookmarkEnd w:id="9"/>
      <w:r>
        <w:rPr>
          <w:rStyle w:val="Style16"/>
          <w:rFonts w:cs="Times New Roman" w:ascii="Times New Roman" w:hAnsi="Times New Roman"/>
          <w:sz w:val="28"/>
          <w:szCs w:val="28"/>
          <w:highlight w:val="yellow"/>
          <w:shd w:fill="auto" w:val="clear"/>
        </w:rPr>
        <w:t>Для цифровых финансовых активов, цифровых прав и цифровой валюты также указывается дата их отчуждения.</w:t>
      </w:r>
    </w:p>
    <w:p>
      <w:pPr>
        <w:pStyle w:val="Normal"/>
        <w:widowControl w:val="false"/>
        <w:rPr>
          <w:rStyle w:val="Style16"/>
          <w:rFonts w:ascii="Times New Roman" w:hAnsi="Times New Roman" w:cs="Times New Roman"/>
          <w:b/>
          <w:b/>
          <w:sz w:val="28"/>
          <w:szCs w:val="28"/>
          <w:shd w:fill="auto" w:val="clear"/>
        </w:rPr>
      </w:pPr>
      <w:r>
        <w:rPr/>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a5f"/>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tLeast" w:line="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finm_infrastructure/oper/" TargetMode="External"/><Relationship Id="rId16" Type="http://schemas.openxmlformats.org/officeDocument/2006/relationships/hyperlink" Target="https://www.cbr.ru/hd_base/metall/metall_base_new/" TargetMode="External"/><Relationship Id="rId17" Type="http://schemas.openxmlformats.org/officeDocument/2006/relationships/hyperlink" Target="https://www.cbr.ru/currency_base/" TargetMode="External"/><Relationship Id="rId18" Type="http://schemas.openxmlformats.org/officeDocument/2006/relationships/hyperlink" Target="https://www.nalog.ru/rn77/related_activities/accounting/bank_account/" TargetMode="External"/><Relationship Id="rId19" Type="http://schemas.openxmlformats.org/officeDocument/2006/relationships/hyperlink" Target="https://www.cbr.ru/banking_sector/likvidbase/"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Application>LibreOffice/7.1.3.2$Windows_X86_64 LibreOffice_project/47f78053abe362b9384784d31a6e56f8511eb1c1</Application>
  <AppVersion>15.0000</AppVersion>
  <Pages>31</Pages>
  <Words>19293</Words>
  <Characters>135295</Characters>
  <CharactersWithSpaces>153815</CharactersWithSpaces>
  <Paragraphs>640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2021-12-10T11:46:00Z</dcterms:created>
  <dc:creator>KovalkovaEA</dc:creator>
  <dc:description/>
  <dc:language>ru-RU</dc:language>
  <cp:lastModifiedBy>Рязановская Ольга Тимуровна</cp:lastModifiedBy>
  <cp:lastPrinted>2021-10-25T14:57:00Z</cp:lastPrinted>
  <dcterms:modified xsi:type="dcterms:W3CDTF">2021-12-28T15:02:00Z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