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Arial" w:hAnsi="Arial" w:eastAsia="Times New Roman" w:cs="Arial"/>
          <w:color w:val="010101"/>
          <w:sz w:val="26"/>
          <w:szCs w:val="26"/>
        </w:rPr>
      </w:pPr>
      <w:r>
        <w:rPr>
          <w:rFonts w:eastAsia="Times New Roman" w:cs="Arial" w:ascii="Arial" w:hAnsi="Arial"/>
          <w:color w:val="010101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b/>
          <w:bCs/>
          <w:color w:val="010101"/>
        </w:rPr>
        <w:t>Программа профилактики рисков причинения вреда (ущерба) на автотранспорте и в дорожном хозяйстве на территории городского поселения «Онежское» на 2024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color w:val="010101"/>
        </w:rPr>
      </w:pPr>
      <w:r>
        <w:rPr>
          <w:rFonts w:eastAsia="Times New Roman" w:cs="Times New Roman" w:ascii="Times New Roman" w:hAnsi="Times New Roman"/>
          <w:b/>
          <w:bCs/>
          <w:color w:val="010101"/>
        </w:rPr>
        <w:t>1. Общие положения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ab/>
        <w:t>1.1Программа  профилактики рисков причинения вреда (ущерба) на автотранспорте и в дорожном хозяйстве на территории городского поселения «Онежское»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автотранспорте и в дорожном хозяйстве на территории городского поселения «Онежское» (далее – Администрация), и порядок их проведения в 2024 году.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10101"/>
        </w:rPr>
        <w:t>2. Анализ текущего состояния осуществления муниципального контроля  на автотранспорте и в дорожном хозяйстве, описание текущего развития профилактической деятельности городского поселения «Онежское», характеристика проблем, на решение которых направлена Программа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2.1.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Предметом муниципального контроля на автотранспорте и в дорожном хозяйстве является соблюдение обязательных требований: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автотранспорте и в дорожном хозяйстве в области организации регулярных перевозок (далее – обязательные требования).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Подконтрольными субъектами при проведении муниципального контроля на автотранспорте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автотранспорт</w:t>
      </w:r>
      <w:r>
        <w:rPr>
          <w:rFonts w:eastAsia="Times New Roman" w:cs="Times New Roman" w:ascii="Times New Roman" w:hAnsi="Times New Roman"/>
          <w:color w:val="010101"/>
        </w:rPr>
        <w:t>а</w:t>
      </w:r>
      <w:r>
        <w:rPr>
          <w:rFonts w:eastAsia="Times New Roman" w:cs="Times New Roman" w:ascii="Times New Roman" w:hAnsi="Times New Roman"/>
          <w:color w:val="010101"/>
        </w:rPr>
        <w:t xml:space="preserve"> и в дорожном хозяйстве на на территории муниципального образования «Онежский муниципальный район»  (далее - подконтрольные субъекты).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Муниципальный контроль на автотранспорте и в дорожном хозяйстве территории городского поселения «Онежское» от лица Администрации осуществляется управлением по инфраструктурному развитию строительству и архитектуре (далее – Управление) посредством: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организации и проведения проверок выполнения подконтрольными субъектами обязательных требований;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Положением о муниципальном контроле на автотранспорте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«Онежское», утвержденн</w:t>
      </w:r>
      <w:r>
        <w:rPr>
          <w:rFonts w:eastAsia="Times New Roman" w:cs="Times New Roman" w:ascii="Times New Roman" w:hAnsi="Times New Roman"/>
          <w:color w:val="010101"/>
        </w:rPr>
        <w:t>ым</w:t>
      </w:r>
      <w:r>
        <w:rPr>
          <w:rFonts w:eastAsia="Times New Roman" w:cs="Times New Roman" w:ascii="Times New Roman" w:hAnsi="Times New Roman"/>
          <w:color w:val="010101"/>
        </w:rPr>
        <w:t xml:space="preserve"> решением Совета депутатов муниципального образования «Онежское» от 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 xml:space="preserve">22 декабря 2021 года 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>№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 xml:space="preserve"> 37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10101"/>
        </w:rPr>
        <w:t>муниципальный контроль осуществляется без проведения плановых контрольных мероприятий.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 на 2023 год, 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утвержденной постановлением администрации муниципального образования город Новомосковск от 13.12.2022 №3329.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В 2024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 на 2023 год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муниципального образования «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Онежское»</w:t>
      </w:r>
      <w:r>
        <w:rPr>
          <w:rFonts w:eastAsia="Times New Roman" w:cs="Times New Roman" w:ascii="Times New Roman" w:hAnsi="Times New Roman"/>
          <w:color w:val="010101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муниципального образования «Онежский муниципальный район» согласно требований 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</w:t>
      </w:r>
      <w:r>
        <w:rPr>
          <w:rFonts w:eastAsia="Times New Roman" w:cs="Times New Roman" w:ascii="Times New Roman" w:hAnsi="Times New Roman"/>
          <w:color w:val="010101"/>
        </w:rPr>
        <w:t xml:space="preserve">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автотранспорте и в дорожном хозяйстве. Общее количество 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консультирований – 8.</w:t>
      </w:r>
      <w:r>
        <w:rPr>
          <w:rFonts w:eastAsia="Times New Roman" w:cs="Times New Roman" w:ascii="Times New Roman" w:hAnsi="Times New Roman"/>
          <w:color w:val="010101"/>
        </w:rPr>
        <w:t xml:space="preserve">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Наиболее актуальные проблемы, по кот</w:t>
      </w:r>
      <w:r>
        <w:rPr>
          <w:rFonts w:eastAsia="Times New Roman" w:cs="Times New Roman" w:ascii="Times New Roman" w:hAnsi="Times New Roman"/>
          <w:color w:val="010101"/>
          <w:shd w:fill="FFFF00" w:val="clear"/>
        </w:rPr>
        <w:t>орым проводились профилактические мероприятия в 2023 году: содержание автомобильных дорог, осуществление пассажирских перевозок.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Раздел 3. Цели и задачи реализации Программы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3.1. Цели Программы: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3.1.1 стимулирование добросовестного соблюдения обязательных требований всеми подконтрольными субъектами;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 Задачи Программы: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3.2.3 формирование единого понимания обязательных требований у всех участников контрольной деятельности;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3.2.4 повышение прозрачности осуществляемой Управлением контрольной деятельности;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3.2.5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Cs/>
          <w:color w:val="010101"/>
        </w:rPr>
      </w:pPr>
      <w:r>
        <w:rPr>
          <w:rFonts w:eastAsia="Times New Roman" w:cs="Times New Roman" w:ascii="Times New Roman" w:hAnsi="Times New Roman"/>
          <w:b/>
          <w:bCs/>
          <w:color w:val="010101"/>
        </w:rPr>
        <w:t>4. Перечень профилактических мероприятий, сроки (периодичность) их проведения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ab/>
        <w:t>4.1Мероприятия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 на 2024 год (приложение).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Cs/>
          <w:color w:val="010101"/>
        </w:rPr>
      </w:pPr>
      <w:r>
        <w:rPr>
          <w:rFonts w:eastAsia="Times New Roman" w:cs="Times New Roman" w:ascii="Times New Roman" w:hAnsi="Times New Roman"/>
          <w:b/>
          <w:bCs/>
          <w:color w:val="010101"/>
        </w:rPr>
        <w:t>5. Показатели результативности и эффективности Программы.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5.1. Отчетные показатели Программы за 2023 год: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5.1.2. Доля профилактических мероприятий в объеме контрольных мероп</w:t>
      </w:r>
      <w:r>
        <w:rPr>
          <w:rFonts w:eastAsia="Times New Roman" w:cs="Times New Roman" w:ascii="Times New Roman" w:hAnsi="Times New Roman"/>
          <w:color w:val="010101"/>
          <w:shd w:fill="auto" w:val="clear"/>
        </w:rPr>
        <w:t>риятий – 100 %.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5.2. Экономический эффект от реализованных мероприятий: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5.2.2. повышение уровня доверия подконтрольных субъектов к Управлению.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 на 2024 год (приложение).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Результаты профилактической работы Управления включаются в Доклад об осуществлении муниципального контроля на автотранспорте и в дорожном хозяйстве в городско</w:t>
      </w:r>
      <w:r>
        <w:rPr>
          <w:rFonts w:eastAsia="Times New Roman" w:cs="Times New Roman" w:ascii="Times New Roman" w:hAnsi="Times New Roman"/>
          <w:color w:val="010101"/>
        </w:rPr>
        <w:t>м</w:t>
      </w:r>
      <w:r>
        <w:rPr>
          <w:rFonts w:eastAsia="Times New Roman" w:cs="Times New Roman" w:ascii="Times New Roman" w:hAnsi="Times New Roman"/>
          <w:color w:val="010101"/>
        </w:rPr>
        <w:t xml:space="preserve"> поселени</w:t>
      </w:r>
      <w:r>
        <w:rPr>
          <w:rFonts w:eastAsia="Times New Roman" w:cs="Times New Roman" w:ascii="Times New Roman" w:hAnsi="Times New Roman"/>
          <w:color w:val="010101"/>
        </w:rPr>
        <w:t>и</w:t>
      </w:r>
      <w:r>
        <w:rPr>
          <w:rFonts w:eastAsia="Times New Roman" w:cs="Times New Roman" w:ascii="Times New Roman" w:hAnsi="Times New Roman"/>
          <w:color w:val="010101"/>
        </w:rPr>
        <w:t xml:space="preserve"> «Онежское» за 2024 год.</w:t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>Приложение</w:t>
        <w:br/>
        <w:t>к Программе профилактики рисков причинения вреда (ущерба)</w:t>
        <w:br/>
        <w:t>охраняемым законом ценностям в рамках муниципального контроля</w:t>
        <w:br/>
        <w:t xml:space="preserve">на автотранспорте и в дорожном хозяйстве </w:t>
      </w:r>
      <w:r>
        <w:rPr>
          <w:rFonts w:eastAsia="Times New Roman" w:cs="Times New Roman" w:ascii="Times New Roman" w:hAnsi="Times New Roman"/>
          <w:color w:val="010101"/>
        </w:rPr>
        <w:t>в городском поселении «Онежское»</w:t>
      </w:r>
      <w:r>
        <w:rPr>
          <w:rFonts w:eastAsia="Times New Roman" w:cs="Times New Roman" w:ascii="Times New Roman" w:hAnsi="Times New Roman"/>
          <w:color w:val="010101"/>
        </w:rPr>
        <w:t xml:space="preserve"> на 2023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  <w:t xml:space="preserve">План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автотранспорте и в дорожном хозяйстве </w:t>
      </w:r>
      <w:r>
        <w:rPr>
          <w:rFonts w:eastAsia="Times New Roman" w:cs="Times New Roman" w:ascii="Times New Roman" w:hAnsi="Times New Roman"/>
          <w:color w:val="010101"/>
        </w:rPr>
        <w:t>в городском поселении «Онежское»</w:t>
      </w:r>
      <w:r>
        <w:rPr>
          <w:rFonts w:eastAsia="Times New Roman" w:cs="Times New Roman" w:ascii="Times New Roman" w:hAnsi="Times New Roman"/>
          <w:color w:val="010101"/>
        </w:rPr>
        <w:t xml:space="preserve"> на 2023 год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</w:rPr>
      </w:r>
    </w:p>
    <w:tbl>
      <w:tblPr>
        <w:tblW w:w="9365" w:type="dxa"/>
        <w:jc w:val="left"/>
        <w:tblInd w:w="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263"/>
        <w:gridCol w:w="1595"/>
        <w:gridCol w:w="4953"/>
        <w:gridCol w:w="1474"/>
        <w:gridCol w:w="1080"/>
      </w:tblGrid>
      <w:tr>
        <w:trPr/>
        <w:tc>
          <w:tcPr>
            <w:tcW w:w="2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№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п/п</w:t>
            </w:r>
          </w:p>
        </w:tc>
        <w:tc>
          <w:tcPr>
            <w:tcW w:w="15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Наименование мероприятия</w:t>
            </w:r>
          </w:p>
        </w:tc>
        <w:tc>
          <w:tcPr>
            <w:tcW w:w="49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Сведения о мероприятии</w:t>
            </w:r>
          </w:p>
        </w:tc>
        <w:tc>
          <w:tcPr>
            <w:tcW w:w="147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Срок исполнения</w:t>
            </w:r>
          </w:p>
        </w:tc>
      </w:tr>
      <w:tr>
        <w:trPr/>
        <w:tc>
          <w:tcPr>
            <w:tcW w:w="2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1.</w:t>
            </w:r>
          </w:p>
        </w:tc>
        <w:tc>
          <w:tcPr>
            <w:tcW w:w="15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Информирование</w:t>
            </w:r>
          </w:p>
        </w:tc>
        <w:tc>
          <w:tcPr>
            <w:tcW w:w="49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Управление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Управление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47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Должностные лица Управления</w:t>
            </w:r>
          </w:p>
        </w:tc>
        <w:tc>
          <w:tcPr>
            <w:tcW w:w="108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В течение года</w:t>
            </w:r>
          </w:p>
        </w:tc>
      </w:tr>
      <w:tr>
        <w:trPr/>
        <w:tc>
          <w:tcPr>
            <w:tcW w:w="2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2.</w:t>
            </w:r>
          </w:p>
        </w:tc>
        <w:tc>
          <w:tcPr>
            <w:tcW w:w="15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Консультирование</w:t>
            </w:r>
          </w:p>
        </w:tc>
        <w:tc>
          <w:tcPr>
            <w:tcW w:w="49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Должностное лицо Управления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автотранспорте и в дорожном хозяйстве). Консультирование осуществляется без взимания платы.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Консультирование может осуществляться должностным лицом Управления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Консультирование осуществляется по следующим вопросам: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автотранспорте и в дорожном хозяйстве;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2) разъяснение положений нормативных правовых актов, регламентирующих порядок осуществления муниципального контроля на автотранспорте и в дорожном хозяйстве;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3) порядок обжалования решений и действий (бездействия) должностных лиц Управления.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147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Должностные лица Управления</w:t>
            </w:r>
          </w:p>
        </w:tc>
        <w:tc>
          <w:tcPr>
            <w:tcW w:w="108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В течение года</w:t>
            </w:r>
          </w:p>
        </w:tc>
      </w:tr>
      <w:tr>
        <w:trPr/>
        <w:tc>
          <w:tcPr>
            <w:tcW w:w="26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3</w:t>
            </w:r>
          </w:p>
        </w:tc>
        <w:tc>
          <w:tcPr>
            <w:tcW w:w="15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Объявление предостережения</w:t>
            </w:r>
          </w:p>
        </w:tc>
        <w:tc>
          <w:tcPr>
            <w:tcW w:w="49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Подконтрольный субъект вправе после получения предостережения о недопустимости нарушения обязательных требований подать в Управление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47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Должностные лица Управления</w:t>
            </w:r>
          </w:p>
        </w:tc>
        <w:tc>
          <w:tcPr>
            <w:tcW w:w="108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10101"/>
              </w:rPr>
            </w:pPr>
            <w:r>
              <w:rPr>
                <w:rFonts w:eastAsia="Times New Roman" w:cs="Times New Roman" w:ascii="Times New Roman" w:hAnsi="Times New Roman"/>
                <w:color w:val="010101"/>
              </w:rPr>
              <w:t>В течение года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Times New Roman" w:cs="Times New Roman"/>
          <w:color w:val="010101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4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link w:val="21"/>
    <w:uiPriority w:val="9"/>
    <w:qFormat/>
    <w:rsid w:val="00cf6ae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 w:customStyle="1">
    <w:name w:val="Heading 3"/>
    <w:basedOn w:val="Normal"/>
    <w:link w:val="31"/>
    <w:uiPriority w:val="9"/>
    <w:qFormat/>
    <w:rsid w:val="00cf6ae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cf6ae7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uiPriority w:val="9"/>
    <w:qFormat/>
    <w:rsid w:val="00cf6ae7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12" w:customStyle="1">
    <w:name w:val="Заголовок"/>
    <w:basedOn w:val="Normal"/>
    <w:next w:val="Style13"/>
    <w:qFormat/>
    <w:rsid w:val="00f434d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f434d3"/>
    <w:pPr>
      <w:spacing w:before="0" w:after="140"/>
    </w:pPr>
    <w:rPr/>
  </w:style>
  <w:style w:type="paragraph" w:styleId="Style14">
    <w:name w:val="List"/>
    <w:basedOn w:val="Style13"/>
    <w:rsid w:val="00f434d3"/>
    <w:pPr/>
    <w:rPr>
      <w:rFonts w:cs="Mangal"/>
    </w:rPr>
  </w:style>
  <w:style w:type="paragraph" w:styleId="Style15" w:customStyle="1">
    <w:name w:val="Caption"/>
    <w:basedOn w:val="Normal"/>
    <w:qFormat/>
    <w:rsid w:val="00f4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f434d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f6a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LibreOffice/7.5.1.2$Windows_X86_64 LibreOffice_project/fcbaee479e84c6cd81291587d2ee68cba099e129</Application>
  <AppVersion>15.0000</AppVersion>
  <Pages>6</Pages>
  <Words>1642</Words>
  <Characters>13012</Characters>
  <CharactersWithSpaces>14595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2023-10-10T13:06:00Z</dcterms:created>
  <dc:creator>AlexZ</dc:creator>
  <dc:description/>
  <dc:language>ru-RU</dc:language>
  <cp:lastModifiedBy/>
  <dcterms:modified xsi:type="dcterms:W3CDTF">2023-10-10T17:16:54Z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